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634" w:right="668" w:hanging="2200"/>
        <w:spacing w:before="275" w:line="295" w:lineRule="auto"/>
        <w:outlineLvl w:val="0"/>
        <w:rPr>
          <w:sz w:val="32"/>
          <w:szCs w:val="32"/>
        </w:rPr>
      </w:pPr>
      <w:r>
        <w:rPr>
          <w:sz w:val="32"/>
          <w:szCs w:val="32"/>
          <w:b/>
          <w:bCs/>
          <w:spacing w:val="-2"/>
        </w:rPr>
        <w:t>成都京东方医院有限公司新增钇-90微球介入治疗项目</w:t>
      </w:r>
      <w:r>
        <w:rPr>
          <w:sz w:val="32"/>
          <w:szCs w:val="32"/>
          <w:spacing w:val="17"/>
        </w:rPr>
        <w:t xml:space="preserve"> </w:t>
      </w:r>
      <w:r>
        <w:rPr>
          <w:sz w:val="32"/>
          <w:szCs w:val="32"/>
          <w:b/>
          <w:bCs/>
          <w:spacing w:val="-5"/>
        </w:rPr>
        <w:t>竣工环境保护验收意见</w:t>
      </w:r>
    </w:p>
    <w:p>
      <w:pPr>
        <w:pStyle w:val="BodyText"/>
        <w:ind w:right="303" w:firstLine="500"/>
        <w:spacing w:before="242" w:line="339" w:lineRule="auto"/>
        <w:jc w:val="both"/>
        <w:rPr/>
      </w:pPr>
      <w:r>
        <w:rPr>
          <w:spacing w:val="9"/>
        </w:rPr>
        <w:t>2025年4月18日，成都京东方医院有限公司</w:t>
      </w:r>
      <w:r>
        <w:rPr>
          <w:spacing w:val="8"/>
        </w:rPr>
        <w:t>(以下简称“公司”)根据《成</w:t>
      </w:r>
      <w:r>
        <w:rPr/>
        <w:t xml:space="preserve"> </w:t>
      </w:r>
      <w:r>
        <w:rPr>
          <w:spacing w:val="1"/>
        </w:rPr>
        <w:t>都京东方医院有限公司新增钇-90微球介入治疗项目竣</w:t>
      </w:r>
      <w:r>
        <w:rPr/>
        <w:t>工环境保护验收监测报告 </w:t>
      </w:r>
      <w:r>
        <w:rPr>
          <w:spacing w:val="2"/>
        </w:rPr>
        <w:t>表》</w:t>
      </w:r>
      <w:r>
        <w:rPr>
          <w:spacing w:val="-33"/>
        </w:rPr>
        <w:t xml:space="preserve"> </w:t>
      </w:r>
      <w:r>
        <w:rPr>
          <w:spacing w:val="2"/>
        </w:rPr>
        <w:t>(</w:t>
      </w:r>
      <w:r>
        <w:rPr/>
        <w:t>RDSY</w:t>
      </w:r>
      <w:r>
        <w:rPr>
          <w:spacing w:val="2"/>
        </w:rPr>
        <w:t>202506),</w:t>
      </w:r>
      <w:r>
        <w:rPr/>
        <w:t xml:space="preserve">    </w:t>
      </w:r>
      <w:r>
        <w:rPr>
          <w:spacing w:val="2"/>
        </w:rPr>
        <w:t>并对照《建设项目竣工环境保护验收暂行办法》,严格 </w:t>
      </w:r>
      <w:r>
        <w:rPr>
          <w:spacing w:val="5"/>
        </w:rPr>
        <w:t>依照国家有关法律法规、《建设项目竣工环境保护设施验收技术规范</w:t>
      </w:r>
      <w:r>
        <w:rPr>
          <w:spacing w:val="4"/>
        </w:rPr>
        <w:t>核技术利</w:t>
      </w:r>
      <w:r>
        <w:rPr/>
        <w:t xml:space="preserve"> </w:t>
      </w:r>
      <w:r>
        <w:rPr>
          <w:spacing w:val="-2"/>
        </w:rPr>
        <w:t>用</w:t>
      </w:r>
      <w:r>
        <w:rPr>
          <w:spacing w:val="-59"/>
        </w:rPr>
        <w:t xml:space="preserve"> </w:t>
      </w:r>
      <w:r>
        <w:rPr>
          <w:spacing w:val="-2"/>
        </w:rPr>
        <w:t>》(HJ1326)、</w:t>
      </w:r>
      <w:r>
        <w:rPr>
          <w:spacing w:val="72"/>
        </w:rPr>
        <w:t xml:space="preserve"> </w:t>
      </w:r>
      <w:r>
        <w:rPr>
          <w:spacing w:val="-2"/>
        </w:rPr>
        <w:t>本项目环境影响评价报告表和审</w:t>
      </w:r>
      <w:r>
        <w:rPr>
          <w:spacing w:val="-3"/>
        </w:rPr>
        <w:t>批部门审批决定等要求对本项</w:t>
      </w:r>
      <w:r>
        <w:rPr/>
        <w:t xml:space="preserve"> </w:t>
      </w:r>
      <w:r>
        <w:rPr/>
        <w:t>目进行验收，提出验收意见如下：</w:t>
      </w:r>
    </w:p>
    <w:p>
      <w:pPr>
        <w:pStyle w:val="BodyText"/>
        <w:ind w:left="503"/>
        <w:spacing w:before="9" w:line="219" w:lineRule="auto"/>
        <w:outlineLvl w:val="3"/>
        <w:rPr/>
      </w:pPr>
      <w:r>
        <w:rPr>
          <w:b/>
          <w:bCs/>
          <w:spacing w:val="-1"/>
        </w:rPr>
        <w:t>一、工程建设基本情况</w:t>
      </w:r>
    </w:p>
    <w:p>
      <w:pPr>
        <w:pStyle w:val="BodyText"/>
        <w:ind w:left="599"/>
        <w:spacing w:before="170" w:line="219" w:lineRule="auto"/>
        <w:rPr/>
      </w:pPr>
      <w:r>
        <w:rPr>
          <w:spacing w:val="9"/>
        </w:rPr>
        <w:t>(一)建设地点、规模、主要建设内容</w:t>
      </w:r>
    </w:p>
    <w:p>
      <w:pPr>
        <w:pStyle w:val="BodyText"/>
        <w:ind w:right="334" w:firstLine="500"/>
        <w:spacing w:before="135" w:line="345" w:lineRule="auto"/>
        <w:rPr/>
      </w:pPr>
      <w:r>
        <w:rPr>
          <w:spacing w:val="10"/>
        </w:rPr>
        <w:t>公司在成都京东方医院急诊楼2层心脑中心</w:t>
      </w:r>
      <w:r>
        <w:rPr>
          <w:rFonts w:ascii="Times New Roman" w:hAnsi="Times New Roman" w:eastAsia="Times New Roman" w:cs="Times New Roman"/>
        </w:rPr>
        <w:t>DSA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10"/>
        </w:rPr>
        <w:t>检查室2内开展90</w:t>
      </w:r>
      <w:r>
        <w:rPr>
          <w:rFonts w:ascii="Times New Roman" w:hAnsi="Times New Roman" w:eastAsia="Times New Roman" w:cs="Times New Roman"/>
          <w:spacing w:val="10"/>
        </w:rPr>
        <w:t>Y </w:t>
      </w:r>
      <w:r>
        <w:rPr>
          <w:spacing w:val="10"/>
        </w:rPr>
        <w:t>微球</w:t>
      </w:r>
      <w:r>
        <w:rPr>
          <w:spacing w:val="16"/>
        </w:rPr>
        <w:t xml:space="preserve"> </w:t>
      </w:r>
      <w:r>
        <w:rPr>
          <w:spacing w:val="-3"/>
        </w:rPr>
        <w:t>介入治疗项目，为乙级非密封性工作场所。</w:t>
      </w:r>
    </w:p>
    <w:p>
      <w:pPr>
        <w:pStyle w:val="BodyText"/>
        <w:ind w:left="603"/>
        <w:spacing w:line="220" w:lineRule="auto"/>
        <w:outlineLvl w:val="3"/>
        <w:rPr/>
      </w:pPr>
      <w:r>
        <w:rPr>
          <w:b/>
          <w:bCs/>
          <w:spacing w:val="6"/>
        </w:rPr>
        <w:t>(二)建设过程及环保审批情况</w:t>
      </w:r>
    </w:p>
    <w:p>
      <w:pPr>
        <w:pStyle w:val="BodyText"/>
        <w:ind w:right="334" w:firstLine="500"/>
        <w:spacing w:before="156" w:line="341" w:lineRule="auto"/>
        <w:rPr/>
      </w:pPr>
      <w:r>
        <w:rPr>
          <w:spacing w:val="8"/>
        </w:rPr>
        <w:t>四川省生态环境厅于2024年8月19日批复了《成都京东方医院有限公司新</w:t>
      </w:r>
      <w:r>
        <w:rPr/>
        <w:t xml:space="preserve"> </w:t>
      </w:r>
      <w:r>
        <w:rPr>
          <w:spacing w:val="2"/>
        </w:rPr>
        <w:t>增钇-90微球介入治疗项目环境影响报告表》(川环审批〔202</w:t>
      </w:r>
      <w:r>
        <w:rPr>
          <w:spacing w:val="1"/>
        </w:rPr>
        <w:t>4)100号〕。</w:t>
      </w:r>
    </w:p>
    <w:p>
      <w:pPr>
        <w:pStyle w:val="BodyText"/>
        <w:ind w:right="244" w:firstLine="500"/>
        <w:spacing w:before="2" w:line="340" w:lineRule="auto"/>
        <w:jc w:val="both"/>
        <w:rPr/>
      </w:pPr>
      <w:r>
        <w:rPr>
          <w:spacing w:val="4"/>
        </w:rPr>
        <w:t>公司现持有四川省生态环境厅颁发的《辐射安全许可证》,其证书编</w:t>
      </w:r>
      <w:r>
        <w:rPr>
          <w:spacing w:val="3"/>
        </w:rPr>
        <w:t>号为：</w:t>
      </w:r>
      <w:r>
        <w:rPr/>
        <w:t xml:space="preserve"> </w:t>
      </w:r>
      <w:r>
        <w:rPr>
          <w:spacing w:val="22"/>
        </w:rPr>
        <w:t>川环辐证(00845)(发证日期：2024年10月17日),许可种类和范围为：使</w:t>
      </w:r>
      <w:r>
        <w:rPr/>
        <w:t xml:space="preserve">  </w:t>
      </w:r>
      <w:r>
        <w:rPr>
          <w:spacing w:val="2"/>
        </w:rPr>
        <w:t>用</w:t>
      </w:r>
      <w:r>
        <w:rPr>
          <w:rFonts w:ascii="Times New Roman" w:hAnsi="Times New Roman" w:eastAsia="Times New Roman" w:cs="Times New Roman"/>
          <w:spacing w:val="2"/>
        </w:rPr>
        <w:t>V</w:t>
      </w:r>
      <w:r>
        <w:rPr>
          <w:spacing w:val="2"/>
        </w:rPr>
        <w:t>类放射源；使用</w:t>
      </w:r>
      <w:r>
        <w:rPr>
          <w:rFonts w:ascii="Times New Roman" w:hAnsi="Times New Roman" w:eastAsia="Times New Roman" w:cs="Times New Roman"/>
        </w:rPr>
        <w:t>II</w:t>
      </w:r>
      <w:r>
        <w:rPr>
          <w:spacing w:val="2"/>
        </w:rPr>
        <w:t>类、Ⅲ类射线装置；使用非密封放射性物质，乙级</w:t>
      </w:r>
      <w:r>
        <w:rPr>
          <w:spacing w:val="1"/>
        </w:rPr>
        <w:t>非密封</w:t>
      </w:r>
      <w:r>
        <w:rPr/>
        <w:t xml:space="preserve">  </w:t>
      </w:r>
      <w:r>
        <w:rPr>
          <w:spacing w:val="14"/>
        </w:rPr>
        <w:t>放射性物质工作场所。有效期至2026年3月23</w:t>
      </w:r>
      <w:r>
        <w:rPr>
          <w:spacing w:val="13"/>
        </w:rPr>
        <w:t>日。</w:t>
      </w:r>
    </w:p>
    <w:p>
      <w:pPr>
        <w:pStyle w:val="BodyText"/>
        <w:ind w:left="603"/>
        <w:spacing w:before="1" w:line="220" w:lineRule="auto"/>
        <w:outlineLvl w:val="3"/>
        <w:rPr/>
      </w:pPr>
      <w:r>
        <w:rPr>
          <w:b/>
          <w:bCs/>
          <w:spacing w:val="16"/>
        </w:rPr>
        <w:t>(三)投资情况</w:t>
      </w:r>
    </w:p>
    <w:p>
      <w:pPr>
        <w:pStyle w:val="BodyText"/>
        <w:ind w:left="500"/>
        <w:spacing w:before="165" w:line="219" w:lineRule="auto"/>
        <w:rPr/>
      </w:pPr>
      <w:r>
        <w:rPr>
          <w:spacing w:val="8"/>
        </w:rPr>
        <w:t>本项目实际总投资28万元，实际环保投资约14万元。</w:t>
      </w:r>
    </w:p>
    <w:p>
      <w:pPr>
        <w:pStyle w:val="BodyText"/>
        <w:ind w:left="500"/>
        <w:spacing w:before="157" w:line="219" w:lineRule="auto"/>
        <w:rPr/>
      </w:pPr>
      <w:r>
        <w:rPr/>
        <w:t>二、辐射安全与防护设施建设情况</w:t>
      </w:r>
    </w:p>
    <w:p>
      <w:pPr>
        <w:pStyle w:val="BodyText"/>
        <w:ind w:left="599"/>
        <w:spacing w:before="146" w:line="219" w:lineRule="auto"/>
        <w:rPr/>
      </w:pPr>
      <w:r>
        <w:rPr>
          <w:spacing w:val="9"/>
        </w:rPr>
        <w:t>(一)辐射安全与防护设施建设情况</w:t>
      </w:r>
    </w:p>
    <w:p>
      <w:pPr>
        <w:pStyle w:val="BodyText"/>
        <w:ind w:right="354" w:firstLine="429"/>
        <w:spacing w:before="156" w:line="338" w:lineRule="auto"/>
        <w:jc w:val="both"/>
        <w:rPr/>
      </w:pPr>
      <w:r>
        <w:rPr>
          <w:spacing w:val="1"/>
        </w:rPr>
        <w:t>90Y</w:t>
      </w:r>
      <w:r>
        <w:rPr>
          <w:spacing w:val="-60"/>
        </w:rPr>
        <w:t xml:space="preserve"> </w:t>
      </w:r>
      <w:r>
        <w:rPr>
          <w:spacing w:val="1"/>
        </w:rPr>
        <w:t>微球介入治疗工作场所设置有通排风系统、视频监控系统、</w:t>
      </w:r>
      <w:r>
        <w:rPr/>
        <w:t>观察窗、对 </w:t>
      </w:r>
      <w:r>
        <w:rPr>
          <w:spacing w:val="-2"/>
        </w:rPr>
        <w:t>讲装置、工作状态指示灯、急停按钮、辐射巡检仪、</w:t>
      </w:r>
      <w:r>
        <w:rPr>
          <w:spacing w:val="-3"/>
        </w:rPr>
        <w:t>表面污染检测仪、个人剂量</w:t>
      </w:r>
      <w:r>
        <w:rPr/>
        <w:t xml:space="preserve"> </w:t>
      </w:r>
      <w:r>
        <w:rPr/>
        <w:t>报警仪、铅衣、铅帽、铅围裙等辐射防护设</w:t>
      </w:r>
      <w:r>
        <w:rPr>
          <w:spacing w:val="-1"/>
        </w:rPr>
        <w:t>施和个人辐射防护用品。</w:t>
      </w:r>
    </w:p>
    <w:p>
      <w:pPr>
        <w:pStyle w:val="BodyText"/>
        <w:ind w:right="375" w:firstLine="429"/>
        <w:spacing w:line="345" w:lineRule="auto"/>
        <w:rPr/>
      </w:pPr>
      <w:r>
        <w:rPr>
          <w:spacing w:val="-2"/>
        </w:rPr>
        <w:t>本项目辐射安全与防护设施已按照环评文件及其批复落实，并能保证使用过</w:t>
      </w:r>
      <w:r>
        <w:rPr>
          <w:spacing w:val="14"/>
        </w:rPr>
        <w:t xml:space="preserve"> </w:t>
      </w:r>
      <w:r>
        <w:rPr>
          <w:spacing w:val="-4"/>
        </w:rPr>
        <w:t>程中的辐射安全防护。</w:t>
      </w:r>
    </w:p>
    <w:p>
      <w:pPr>
        <w:pStyle w:val="BodyText"/>
        <w:ind w:left="603"/>
        <w:spacing w:line="219" w:lineRule="auto"/>
        <w:outlineLvl w:val="3"/>
        <w:rPr/>
      </w:pPr>
      <w:r>
        <w:rPr>
          <w:b/>
          <w:bCs/>
          <w:spacing w:val="3"/>
        </w:rPr>
        <w:t>(二)辐射安全与防护措施和其他管理要求落实情况</w:t>
      </w:r>
    </w:p>
    <w:p>
      <w:pPr>
        <w:pStyle w:val="BodyText"/>
        <w:ind w:left="429"/>
        <w:spacing w:before="139" w:line="219" w:lineRule="auto"/>
        <w:rPr/>
      </w:pPr>
      <w:r>
        <w:rPr>
          <w:spacing w:val="-2"/>
        </w:rPr>
        <w:t>公司已按照环评要求设置了监督区和控制区；并在相应位置粘贴有当心电离</w:t>
      </w:r>
    </w:p>
    <w:p>
      <w:pPr>
        <w:spacing w:line="219" w:lineRule="auto"/>
        <w:sectPr>
          <w:footerReference w:type="default" r:id="rId1"/>
          <w:pgSz w:w="11900" w:h="16830"/>
          <w:pgMar w:top="1430" w:right="1785" w:bottom="1087" w:left="1440" w:header="0" w:footer="915" w:gutter="0"/>
        </w:sectPr>
        <w:rPr/>
      </w:pPr>
    </w:p>
    <w:p>
      <w:pPr>
        <w:pStyle w:val="BodyText"/>
        <w:spacing w:before="296" w:line="218" w:lineRule="auto"/>
        <w:rPr>
          <w:sz w:val="23"/>
          <w:szCs w:val="23"/>
        </w:rPr>
      </w:pPr>
      <w:r>
        <w:rPr>
          <w:sz w:val="23"/>
          <w:szCs w:val="23"/>
          <w:spacing w:val="6"/>
        </w:rPr>
        <w:t>辐射警告标志和警戒标识。</w:t>
      </w:r>
    </w:p>
    <w:p>
      <w:pPr>
        <w:pStyle w:val="BodyText"/>
        <w:ind w:right="258" w:firstLine="480"/>
        <w:spacing w:before="158" w:line="374" w:lineRule="auto"/>
        <w:jc w:val="both"/>
        <w:rPr>
          <w:sz w:val="19"/>
          <w:szCs w:val="19"/>
        </w:rPr>
      </w:pPr>
      <w:r>
        <w:rPr>
          <w:sz w:val="23"/>
          <w:szCs w:val="23"/>
          <w:spacing w:val="8"/>
        </w:rPr>
        <w:t>公司已制定了相应的辐射安全与防护管理制度，满足《放射性同位素与射线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  <w:spacing w:val="8"/>
        </w:rPr>
        <w:t>装置安全和防护条例》和《放射性同位素与射线装置安全许可管理办法》的相关</w:t>
      </w:r>
      <w:r>
        <w:rPr>
          <w:sz w:val="23"/>
          <w:szCs w:val="23"/>
        </w:rPr>
        <w:t xml:space="preserve"> </w:t>
      </w:r>
      <w:r>
        <w:rPr>
          <w:sz w:val="19"/>
          <w:szCs w:val="19"/>
          <w:spacing w:val="-6"/>
        </w:rPr>
        <w:t>要</w:t>
      </w:r>
      <w:r>
        <w:rPr>
          <w:sz w:val="19"/>
          <w:szCs w:val="19"/>
          <w:spacing w:val="-21"/>
        </w:rPr>
        <w:t xml:space="preserve"> </w:t>
      </w:r>
      <w:r>
        <w:rPr>
          <w:sz w:val="19"/>
          <w:szCs w:val="19"/>
          <w:spacing w:val="-6"/>
        </w:rPr>
        <w:t>求</w:t>
      </w:r>
      <w:r>
        <w:rPr>
          <w:sz w:val="19"/>
          <w:szCs w:val="19"/>
          <w:spacing w:val="-30"/>
        </w:rPr>
        <w:t xml:space="preserve"> </w:t>
      </w:r>
      <w:r>
        <w:rPr>
          <w:sz w:val="19"/>
          <w:szCs w:val="19"/>
          <w:spacing w:val="-6"/>
        </w:rPr>
        <w:t>。</w:t>
      </w:r>
    </w:p>
    <w:p>
      <w:pPr>
        <w:pStyle w:val="BodyText"/>
        <w:ind w:left="480"/>
        <w:spacing w:before="25" w:line="220" w:lineRule="auto"/>
        <w:rPr>
          <w:sz w:val="23"/>
          <w:szCs w:val="23"/>
        </w:rPr>
      </w:pPr>
      <w:r>
        <w:rPr>
          <w:sz w:val="23"/>
          <w:szCs w:val="23"/>
          <w:spacing w:val="11"/>
        </w:rPr>
        <w:t>三、工程变动情况</w:t>
      </w:r>
    </w:p>
    <w:p>
      <w:pPr>
        <w:pStyle w:val="BodyText"/>
        <w:ind w:left="480"/>
        <w:spacing w:before="184" w:line="219" w:lineRule="auto"/>
        <w:rPr>
          <w:sz w:val="23"/>
          <w:szCs w:val="23"/>
        </w:rPr>
      </w:pPr>
      <w:r>
        <w:rPr>
          <w:sz w:val="23"/>
          <w:szCs w:val="23"/>
          <w:spacing w:val="8"/>
        </w:rPr>
        <w:t>本项目建设地点、规模和主要内容与环评一致，无变动。</w:t>
      </w:r>
    </w:p>
    <w:p>
      <w:pPr>
        <w:pStyle w:val="BodyText"/>
        <w:ind w:left="480"/>
        <w:spacing w:before="149" w:line="220" w:lineRule="auto"/>
        <w:rPr>
          <w:sz w:val="23"/>
          <w:szCs w:val="23"/>
        </w:rPr>
      </w:pPr>
      <w:r>
        <w:rPr>
          <w:sz w:val="23"/>
          <w:szCs w:val="23"/>
          <w:spacing w:val="11"/>
        </w:rPr>
        <w:t>四、工程建设对环境的影响</w:t>
      </w:r>
    </w:p>
    <w:p>
      <w:pPr>
        <w:pStyle w:val="BodyText"/>
        <w:ind w:left="480"/>
        <w:spacing w:before="175" w:line="219" w:lineRule="auto"/>
        <w:rPr>
          <w:sz w:val="23"/>
          <w:szCs w:val="23"/>
        </w:rPr>
      </w:pPr>
      <w:r>
        <w:rPr>
          <w:sz w:val="23"/>
          <w:szCs w:val="23"/>
          <w:spacing w:val="4"/>
        </w:rPr>
        <w:t>验收监测结果表明：</w:t>
      </w:r>
    </w:p>
    <w:p>
      <w:pPr>
        <w:pStyle w:val="BodyText"/>
        <w:ind w:right="231" w:firstLine="619"/>
        <w:spacing w:before="171" w:line="354" w:lineRule="auto"/>
        <w:jc w:val="both"/>
        <w:rPr>
          <w:sz w:val="23"/>
          <w:szCs w:val="23"/>
        </w:rPr>
      </w:pPr>
      <w:r>
        <w:rPr>
          <w:sz w:val="23"/>
          <w:szCs w:val="23"/>
          <w:spacing w:val="17"/>
        </w:rPr>
        <w:t>(一)辐射工作场所环境辐射水平最大为0.25μ</w:t>
      </w:r>
      <w:r>
        <w:rPr>
          <w:sz w:val="23"/>
          <w:szCs w:val="23"/>
        </w:rPr>
        <w:t>Sv</w:t>
      </w:r>
      <w:r>
        <w:rPr>
          <w:sz w:val="23"/>
          <w:szCs w:val="23"/>
          <w:spacing w:val="17"/>
        </w:rPr>
        <w:t>/h, 表面污染水平小于 </w:t>
      </w:r>
      <w:r>
        <w:rPr>
          <w:sz w:val="23"/>
          <w:szCs w:val="23"/>
          <w:spacing w:val="4"/>
        </w:rPr>
        <w:t>0.09</w:t>
      </w:r>
      <w:r>
        <w:rPr>
          <w:sz w:val="23"/>
          <w:szCs w:val="23"/>
        </w:rPr>
        <w:t>Bq</w:t>
      </w:r>
      <w:r>
        <w:rPr>
          <w:sz w:val="23"/>
          <w:szCs w:val="23"/>
          <w:spacing w:val="4"/>
        </w:rPr>
        <w:t>/</w:t>
      </w:r>
      <w:r>
        <w:rPr>
          <w:sz w:val="23"/>
          <w:szCs w:val="23"/>
        </w:rPr>
        <w:t>cm</w:t>
      </w:r>
      <w:r>
        <w:rPr>
          <w:sz w:val="23"/>
          <w:szCs w:val="23"/>
          <w:spacing w:val="4"/>
        </w:rPr>
        <w:t>²,满足《核医学辐射防护与安全要求》 (</w:t>
      </w:r>
      <w:r>
        <w:rPr>
          <w:sz w:val="23"/>
          <w:szCs w:val="23"/>
        </w:rPr>
        <w:t>HJ</w:t>
      </w:r>
      <w:r>
        <w:rPr>
          <w:sz w:val="23"/>
          <w:szCs w:val="23"/>
          <w:spacing w:val="4"/>
        </w:rPr>
        <w:t>1188-2021)  </w:t>
      </w:r>
      <w:r>
        <w:rPr>
          <w:sz w:val="23"/>
          <w:szCs w:val="23"/>
          <w:spacing w:val="3"/>
        </w:rPr>
        <w:t>的“距核医学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1"/>
        </w:rPr>
        <w:t>工作场所各控制区内房间防护门、观察窗和墙壁外表面30</w:t>
      </w:r>
      <w:r>
        <w:rPr>
          <w:rFonts w:ascii="Times New Roman" w:hAnsi="Times New Roman" w:eastAsia="Times New Roman" w:cs="Times New Roman"/>
          <w:sz w:val="23"/>
          <w:szCs w:val="23"/>
        </w:rPr>
        <w:t>cm</w:t>
      </w:r>
      <w:r>
        <w:rPr>
          <w:rFonts w:ascii="Times New Roman" w:hAnsi="Times New Roman" w:eastAsia="Times New Roman" w:cs="Times New Roman"/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11"/>
        </w:rPr>
        <w:t>处剂量当量率目标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6"/>
        </w:rPr>
        <w:t>控制值为2.5μ</w:t>
      </w:r>
      <w:r>
        <w:rPr>
          <w:sz w:val="23"/>
          <w:szCs w:val="23"/>
        </w:rPr>
        <w:t>Sv</w:t>
      </w:r>
      <w:r>
        <w:rPr>
          <w:sz w:val="23"/>
          <w:szCs w:val="23"/>
          <w:spacing w:val="6"/>
        </w:rPr>
        <w:t>/h, 表面污染水平目标控制值为4</w:t>
      </w:r>
      <w:r>
        <w:rPr>
          <w:sz w:val="23"/>
          <w:szCs w:val="23"/>
        </w:rPr>
        <w:t>Bq</w:t>
      </w:r>
      <w:r>
        <w:rPr>
          <w:sz w:val="23"/>
          <w:szCs w:val="23"/>
          <w:spacing w:val="6"/>
        </w:rPr>
        <w:t>/</w:t>
      </w:r>
      <w:r>
        <w:rPr>
          <w:sz w:val="23"/>
          <w:szCs w:val="23"/>
        </w:rPr>
        <w:t>cm</w:t>
      </w:r>
      <w:r>
        <w:rPr>
          <w:sz w:val="23"/>
          <w:szCs w:val="23"/>
          <w:spacing w:val="6"/>
        </w:rPr>
        <w:t>²”要求。</w:t>
      </w:r>
    </w:p>
    <w:p>
      <w:pPr>
        <w:pStyle w:val="BodyText"/>
        <w:ind w:right="255" w:firstLine="609"/>
        <w:spacing w:before="1" w:line="352" w:lineRule="auto"/>
        <w:rPr>
          <w:sz w:val="23"/>
          <w:szCs w:val="23"/>
        </w:rPr>
      </w:pPr>
      <w:r>
        <w:rPr>
          <w:sz w:val="23"/>
          <w:szCs w:val="23"/>
          <w:spacing w:val="11"/>
        </w:rPr>
        <w:t>(二)个人剂量监测报告和验收监测结果估算，本项目所致辐射工作人员和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  <w:spacing w:val="9"/>
        </w:rPr>
        <w:t>公众的年有效剂量分别满足环评批复的5.0</w:t>
      </w:r>
      <w:r>
        <w:rPr>
          <w:sz w:val="23"/>
          <w:szCs w:val="23"/>
        </w:rPr>
        <w:t>mSv</w:t>
      </w:r>
      <w:r>
        <w:rPr>
          <w:sz w:val="23"/>
          <w:szCs w:val="23"/>
          <w:spacing w:val="9"/>
        </w:rPr>
        <w:t xml:space="preserve"> 和0.1</w:t>
      </w:r>
      <w:r>
        <w:rPr>
          <w:sz w:val="23"/>
          <w:szCs w:val="23"/>
        </w:rPr>
        <w:t>mSv</w:t>
      </w:r>
      <w:r>
        <w:rPr>
          <w:sz w:val="23"/>
          <w:szCs w:val="23"/>
          <w:spacing w:val="68"/>
        </w:rPr>
        <w:t xml:space="preserve"> </w:t>
      </w:r>
      <w:r>
        <w:rPr>
          <w:sz w:val="23"/>
          <w:szCs w:val="23"/>
          <w:spacing w:val="9"/>
        </w:rPr>
        <w:t>的剂量约束值要求。</w:t>
      </w:r>
    </w:p>
    <w:p>
      <w:pPr>
        <w:pStyle w:val="BodyText"/>
        <w:ind w:left="483"/>
        <w:spacing w:before="1" w:line="219" w:lineRule="auto"/>
        <w:outlineLvl w:val="4"/>
        <w:rPr>
          <w:sz w:val="23"/>
          <w:szCs w:val="23"/>
        </w:rPr>
      </w:pPr>
      <w:r>
        <w:rPr>
          <w:sz w:val="23"/>
          <w:szCs w:val="23"/>
          <w:b/>
          <w:bCs/>
          <w:spacing w:val="9"/>
        </w:rPr>
        <w:t>五、验收结论</w:t>
      </w:r>
    </w:p>
    <w:p>
      <w:pPr>
        <w:pStyle w:val="BodyText"/>
        <w:ind w:right="256" w:firstLine="480"/>
        <w:spacing w:before="171" w:line="350" w:lineRule="auto"/>
        <w:jc w:val="both"/>
        <w:rPr>
          <w:sz w:val="23"/>
          <w:szCs w:val="23"/>
        </w:rPr>
      </w:pPr>
      <w:r>
        <w:rPr>
          <w:sz w:val="23"/>
          <w:szCs w:val="23"/>
          <w:spacing w:val="8"/>
        </w:rPr>
        <w:t>公司落实了环评文件及其批复的要求，执行了环境保护“三同时”制度，相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8"/>
        </w:rPr>
        <w:t>关的验收文档资料齐全，辐射安全与防护设施及措施运行有效，对环境的影响满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4"/>
        </w:rPr>
        <w:t>足相关标准要求。</w:t>
      </w:r>
    </w:p>
    <w:p>
      <w:pPr>
        <w:pStyle w:val="BodyText"/>
        <w:ind w:right="260" w:firstLine="480"/>
        <w:spacing w:before="1" w:line="365" w:lineRule="auto"/>
        <w:rPr>
          <w:sz w:val="23"/>
          <w:szCs w:val="23"/>
        </w:rPr>
      </w:pPr>
      <w:r>
        <w:rPr>
          <w:sz w:val="23"/>
          <w:szCs w:val="23"/>
          <w:spacing w:val="11"/>
        </w:rPr>
        <w:t>综上所述，验收组同意成都京东方医院有限公司新增钇-90微球介入治疗项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17"/>
        </w:rPr>
        <w:t>目(川环审批〔2024〕100号)通过竣工环境保护设施验收。</w:t>
      </w:r>
    </w:p>
    <w:p>
      <w:pPr>
        <w:pStyle w:val="BodyText"/>
        <w:ind w:left="480"/>
        <w:spacing w:before="1" w:line="219" w:lineRule="auto"/>
        <w:rPr>
          <w:sz w:val="23"/>
          <w:szCs w:val="23"/>
        </w:rPr>
      </w:pPr>
      <w:r>
        <w:rPr>
          <w:sz w:val="23"/>
          <w:szCs w:val="23"/>
          <w:spacing w:val="12"/>
        </w:rPr>
        <w:t>六、验收人员信息</w:t>
      </w:r>
    </w:p>
    <w:p>
      <w:pPr>
        <w:pStyle w:val="BodyText"/>
        <w:ind w:left="480"/>
        <w:spacing w:before="175" w:line="219" w:lineRule="auto"/>
        <w:rPr>
          <w:sz w:val="23"/>
          <w:szCs w:val="23"/>
        </w:rPr>
      </w:pPr>
      <w:r>
        <w:rPr>
          <w:sz w:val="23"/>
          <w:szCs w:val="23"/>
          <w:spacing w:val="7"/>
        </w:rPr>
        <w:t>验收组人员名单及信息附后。</w:t>
      </w:r>
    </w:p>
    <w:p>
      <w:pPr>
        <w:pStyle w:val="BodyText"/>
        <w:ind w:left="5689"/>
        <w:spacing w:before="119" w:line="219" w:lineRule="auto"/>
        <w:rPr>
          <w:sz w:val="23"/>
          <w:szCs w:val="23"/>
        </w:rPr>
      </w:pPr>
      <w:r>
        <w:rPr>
          <w:sz w:val="23"/>
          <w:szCs w:val="23"/>
          <w:spacing w:val="9"/>
        </w:rPr>
        <w:t>成都京东方医院有限公司</w:t>
      </w:r>
    </w:p>
    <w:p>
      <w:pPr>
        <w:pStyle w:val="BodyText"/>
        <w:ind w:left="6460"/>
        <w:spacing w:before="177" w:line="219" w:lineRule="auto"/>
        <w:rPr>
          <w:sz w:val="23"/>
          <w:szCs w:val="23"/>
        </w:rPr>
      </w:pPr>
      <w:r>
        <w:rPr>
          <w:sz w:val="23"/>
          <w:szCs w:val="23"/>
          <w:spacing w:val="31"/>
          <w:w w:val="104"/>
        </w:rPr>
        <w:t>2025年4月18日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2620"/>
        <w:spacing w:before="76" w:line="220" w:lineRule="auto"/>
        <w:rPr>
          <w:sz w:val="23"/>
          <w:szCs w:val="23"/>
        </w:rPr>
      </w:pPr>
      <w:r>
        <w:rPr>
          <w:sz w:val="23"/>
          <w:szCs w:val="23"/>
          <w:spacing w:val="-9"/>
        </w:rPr>
        <w:t>马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9"/>
        </w:rPr>
        <w:t>以    法    辉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firstLine="2794"/>
        <w:spacing w:line="532" w:lineRule="exact"/>
        <w:rPr/>
      </w:pPr>
      <w:r>
        <w:rPr>
          <w:position w:val="-10"/>
        </w:rPr>
        <w:drawing>
          <wp:inline distT="0" distB="0" distL="0" distR="0">
            <wp:extent cx="1042512" cy="33769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2512" cy="337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2"/>
      <w:pgSz w:w="11900" w:h="16830"/>
      <w:pgMar w:top="1430" w:right="1785" w:bottom="1115" w:left="1519" w:header="0" w:footer="92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LiSu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29"/>
      <w:spacing w:line="187" w:lineRule="auto"/>
      <w:rPr>
        <w:rFonts w:ascii="LiSu" w:hAnsi="LiSu" w:eastAsia="LiSu" w:cs="LiSu"/>
        <w:sz w:val="16"/>
        <w:szCs w:val="16"/>
      </w:rPr>
    </w:pPr>
    <w:r>
      <w:rPr>
        <w:rFonts w:ascii="LiSu" w:hAnsi="LiSu" w:eastAsia="LiSu" w:cs="LiSu"/>
        <w:sz w:val="16"/>
        <w:szCs w:val="16"/>
        <w:spacing w:val="-8"/>
      </w:rPr>
      <w:t>第</w:t>
    </w:r>
    <w:r>
      <w:rPr>
        <w:rFonts w:ascii="LiSu" w:hAnsi="LiSu" w:eastAsia="LiSu" w:cs="LiSu"/>
        <w:sz w:val="16"/>
        <w:szCs w:val="16"/>
        <w:spacing w:val="56"/>
      </w:rPr>
      <w:t xml:space="preserve"> </w:t>
    </w:r>
    <w:r>
      <w:rPr>
        <w:rFonts w:ascii="LiSu" w:hAnsi="LiSu" w:eastAsia="LiSu" w:cs="LiSu"/>
        <w:sz w:val="16"/>
        <w:szCs w:val="16"/>
        <w:spacing w:val="-8"/>
      </w:rPr>
      <w:t>1</w:t>
    </w:r>
    <w:r>
      <w:rPr>
        <w:rFonts w:ascii="LiSu" w:hAnsi="LiSu" w:eastAsia="LiSu" w:cs="LiSu"/>
        <w:sz w:val="16"/>
        <w:szCs w:val="16"/>
        <w:spacing w:val="24"/>
      </w:rPr>
      <w:t xml:space="preserve"> </w:t>
    </w:r>
    <w:r>
      <w:rPr>
        <w:rFonts w:ascii="LiSu" w:hAnsi="LiSu" w:eastAsia="LiSu" w:cs="LiSu"/>
        <w:sz w:val="16"/>
        <w:szCs w:val="16"/>
        <w:spacing w:val="-8"/>
      </w:rPr>
      <w:t>页</w:t>
    </w:r>
    <w:r>
      <w:rPr>
        <w:rFonts w:ascii="LiSu" w:hAnsi="LiSu" w:eastAsia="LiSu" w:cs="LiSu"/>
        <w:sz w:val="16"/>
        <w:szCs w:val="16"/>
        <w:spacing w:val="21"/>
      </w:rPr>
      <w:t xml:space="preserve"> </w:t>
    </w:r>
    <w:r>
      <w:rPr>
        <w:rFonts w:ascii="LiSu" w:hAnsi="LiSu" w:eastAsia="LiSu" w:cs="LiSu"/>
        <w:sz w:val="16"/>
        <w:szCs w:val="16"/>
        <w:spacing w:val="-8"/>
      </w:rPr>
      <w:t>/</w:t>
    </w:r>
    <w:r>
      <w:rPr>
        <w:rFonts w:ascii="LiSu" w:hAnsi="LiSu" w:eastAsia="LiSu" w:cs="LiSu"/>
        <w:sz w:val="16"/>
        <w:szCs w:val="16"/>
        <w:spacing w:val="20"/>
      </w:rPr>
      <w:t xml:space="preserve"> </w:t>
    </w:r>
    <w:r>
      <w:rPr>
        <w:rFonts w:ascii="LiSu" w:hAnsi="LiSu" w:eastAsia="LiSu" w:cs="LiSu"/>
        <w:sz w:val="16"/>
        <w:szCs w:val="16"/>
        <w:spacing w:val="-8"/>
      </w:rPr>
      <w:t>共</w:t>
    </w:r>
    <w:r>
      <w:rPr>
        <w:rFonts w:ascii="LiSu" w:hAnsi="LiSu" w:eastAsia="LiSu" w:cs="LiSu"/>
        <w:sz w:val="16"/>
        <w:szCs w:val="16"/>
        <w:spacing w:val="23"/>
        <w:w w:val="101"/>
      </w:rPr>
      <w:t xml:space="preserve"> </w:t>
    </w:r>
    <w:r>
      <w:rPr>
        <w:rFonts w:ascii="LiSu" w:hAnsi="LiSu" w:eastAsia="LiSu" w:cs="LiSu"/>
        <w:sz w:val="16"/>
        <w:szCs w:val="16"/>
        <w:spacing w:val="-8"/>
      </w:rPr>
      <w:t>2</w:t>
    </w:r>
    <w:r>
      <w:rPr>
        <w:rFonts w:ascii="LiSu" w:hAnsi="LiSu" w:eastAsia="LiSu" w:cs="LiSu"/>
        <w:sz w:val="16"/>
        <w:szCs w:val="16"/>
        <w:spacing w:val="30"/>
      </w:rPr>
      <w:t xml:space="preserve"> </w:t>
    </w:r>
    <w:r>
      <w:rPr>
        <w:rFonts w:ascii="LiSu" w:hAnsi="LiSu" w:eastAsia="LiSu" w:cs="LiSu"/>
        <w:sz w:val="16"/>
        <w:szCs w:val="16"/>
        <w:spacing w:val="-8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30"/>
      <w:spacing w:line="212" w:lineRule="auto"/>
      <w:rPr>
        <w:rFonts w:ascii="KaiTi" w:hAnsi="KaiTi" w:eastAsia="KaiTi" w:cs="KaiTi"/>
        <w:sz w:val="16"/>
        <w:szCs w:val="16"/>
      </w:rPr>
    </w:pPr>
    <w:r>
      <w:rPr>
        <w:rFonts w:ascii="KaiTi" w:hAnsi="KaiTi" w:eastAsia="KaiTi" w:cs="KaiTi"/>
        <w:sz w:val="16"/>
        <w:szCs w:val="16"/>
        <w:spacing w:val="-8"/>
      </w:rPr>
      <w:t>第</w:t>
    </w:r>
    <w:r>
      <w:rPr>
        <w:rFonts w:ascii="KaiTi" w:hAnsi="KaiTi" w:eastAsia="KaiTi" w:cs="KaiTi"/>
        <w:sz w:val="16"/>
        <w:szCs w:val="16"/>
        <w:spacing w:val="53"/>
        <w:w w:val="101"/>
      </w:rPr>
      <w:t xml:space="preserve"> </w:t>
    </w:r>
    <w:r>
      <w:rPr>
        <w:rFonts w:ascii="KaiTi" w:hAnsi="KaiTi" w:eastAsia="KaiTi" w:cs="KaiTi"/>
        <w:sz w:val="16"/>
        <w:szCs w:val="16"/>
        <w:spacing w:val="-8"/>
      </w:rPr>
      <w:t>2</w:t>
    </w:r>
    <w:r>
      <w:rPr>
        <w:rFonts w:ascii="KaiTi" w:hAnsi="KaiTi" w:eastAsia="KaiTi" w:cs="KaiTi"/>
        <w:sz w:val="16"/>
        <w:szCs w:val="16"/>
        <w:spacing w:val="10"/>
      </w:rPr>
      <w:t xml:space="preserve"> </w:t>
    </w:r>
    <w:r>
      <w:rPr>
        <w:rFonts w:ascii="KaiTi" w:hAnsi="KaiTi" w:eastAsia="KaiTi" w:cs="KaiTi"/>
        <w:sz w:val="16"/>
        <w:szCs w:val="16"/>
        <w:spacing w:val="-8"/>
      </w:rPr>
      <w:t>页</w:t>
    </w:r>
    <w:r>
      <w:rPr>
        <w:rFonts w:ascii="KaiTi" w:hAnsi="KaiTi" w:eastAsia="KaiTi" w:cs="KaiTi"/>
        <w:sz w:val="16"/>
        <w:szCs w:val="16"/>
        <w:spacing w:val="22"/>
      </w:rPr>
      <w:t xml:space="preserve"> </w:t>
    </w:r>
    <w:r>
      <w:rPr>
        <w:rFonts w:ascii="KaiTi" w:hAnsi="KaiTi" w:eastAsia="KaiTi" w:cs="KaiTi"/>
        <w:sz w:val="16"/>
        <w:szCs w:val="16"/>
        <w:spacing w:val="-8"/>
      </w:rPr>
      <w:t>/</w:t>
    </w:r>
    <w:r>
      <w:rPr>
        <w:rFonts w:ascii="KaiTi" w:hAnsi="KaiTi" w:eastAsia="KaiTi" w:cs="KaiTi"/>
        <w:sz w:val="16"/>
        <w:szCs w:val="16"/>
        <w:spacing w:val="24"/>
      </w:rPr>
      <w:t xml:space="preserve"> </w:t>
    </w:r>
    <w:r>
      <w:rPr>
        <w:rFonts w:ascii="KaiTi" w:hAnsi="KaiTi" w:eastAsia="KaiTi" w:cs="KaiTi"/>
        <w:sz w:val="16"/>
        <w:szCs w:val="16"/>
        <w:spacing w:val="-8"/>
      </w:rPr>
      <w:t>共</w:t>
    </w:r>
    <w:r>
      <w:rPr>
        <w:rFonts w:ascii="KaiTi" w:hAnsi="KaiTi" w:eastAsia="KaiTi" w:cs="KaiTi"/>
        <w:sz w:val="16"/>
        <w:szCs w:val="16"/>
        <w:spacing w:val="24"/>
      </w:rPr>
      <w:t xml:space="preserve"> </w:t>
    </w:r>
    <w:r>
      <w:rPr>
        <w:rFonts w:ascii="KaiTi" w:hAnsi="KaiTi" w:eastAsia="KaiTi" w:cs="KaiTi"/>
        <w:sz w:val="16"/>
        <w:szCs w:val="16"/>
        <w:spacing w:val="-8"/>
      </w:rPr>
      <w:t>2</w:t>
    </w:r>
    <w:r>
      <w:rPr>
        <w:rFonts w:ascii="KaiTi" w:hAnsi="KaiTi" w:eastAsia="KaiTi" w:cs="KaiTi"/>
        <w:sz w:val="16"/>
        <w:szCs w:val="16"/>
        <w:spacing w:val="21"/>
      </w:rPr>
      <w:t xml:space="preserve"> </w:t>
    </w:r>
    <w:r>
      <w:rPr>
        <w:rFonts w:ascii="KaiTi" w:hAnsi="KaiTi" w:eastAsia="KaiTi" w:cs="KaiTi"/>
        <w:sz w:val="16"/>
        <w:szCs w:val="16"/>
        <w:spacing w:val="-8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1.png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2025-04-27T10:13:45Z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2025-04-27T10:13:45</vt:filetime>
  </property>
  <property fmtid="{D5CDD505-2E9C-101B-9397-08002B2CF9AE}" pid="4" name="UsrData">
    <vt:lpwstr>680d92d7daef57002027e578wl</vt:lpwstr>
  </property>
</Properties>
</file>